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May 4th,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3:15pm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Interim 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Rhonda Ware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N. Tyler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Revise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N. Tyler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A">
      <w:pPr>
        <w:rPr>
          <w:color w:val="0083a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Fill Vacant Community Seat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[Passes/Fails]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Not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 principal remark at this moment;</w:t>
      </w:r>
      <w:r w:rsidDel="00000000" w:rsidR="00000000" w:rsidRPr="00000000">
        <w:rPr>
          <w:b w:val="1"/>
          <w:sz w:val="24"/>
          <w:szCs w:val="24"/>
          <w:rtl w:val="0"/>
        </w:rPr>
        <w:t xml:space="preserve"> motion to amend and revise  price;bolden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Spring ACES Review-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Not discussed, covered in previous meeting</w:t>
      </w:r>
      <w:r w:rsidDel="00000000" w:rsidR="00000000" w:rsidRPr="00000000">
        <w:rPr>
          <w:b w:val="1"/>
          <w:sz w:val="24"/>
          <w:szCs w:val="24"/>
          <w:rtl w:val="0"/>
        </w:rPr>
        <w:t xml:space="preserve">; motion to amended and revise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be advised of next Go Team Meeting on May 11, 2022; Candidacy Interviews May 17th,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4E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3:33pm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Nakita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REVISEMENT APPROVED 5/11/22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